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before="560" w:after="140" w:line="276" w:lineRule="auto"/>
        <w:jc w:val="center"/>
      </w:pPr>
      <w:r>
        <w:rPr>
          <w:rFonts w:ascii="Microsoft YaHei" w:hAnsi="Microsoft YaHei" w:eastAsia="Microsoft YaHei"/>
          <w:b/>
          <w:color w:val="173C5C"/>
          <w:sz w:val="48"/>
        </w:rPr>
        <w:t>Lovis 工业智能故障诊断系统——项目说明书</w:t>
      </w:r>
    </w:p>
    <w:p>
      <w:pPr>
        <w:spacing w:before="0" w:after="360" w:line="317" w:lineRule="auto"/>
        <w:jc w:val="center"/>
      </w:pPr>
      <w:r>
        <w:rPr>
          <w:rFonts w:ascii="Microsoft YaHei" w:hAnsi="Microsoft YaHei" w:eastAsia="Microsoft YaHei"/>
          <w:color w:val="536B7F"/>
          <w:sz w:val="24"/>
        </w:rPr>
        <w:t>工程概览、证据追溯与评委体验指南</w:t>
      </w:r>
    </w:p>
    <w:p>
      <w:pPr>
        <w:spacing w:before="0" w:after="400" w:line="317" w:lineRule="auto"/>
        <w:jc w:val="center"/>
      </w:pPr>
      <w:r>
        <w:rPr>
          <w:rFonts w:ascii="Microsoft YaHei" w:hAnsi="Microsoft YaHei" w:eastAsia="Microsoft YaHei"/>
          <w:color w:val="2477AC"/>
          <w:sz w:val="21"/>
        </w:rPr>
        <w:t>作品提交版  ·  2026年11月8日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663"/>
      </w:tblGrid>
      <w:tr>
        <w:tc>
          <w:tcPr>
            <w:tcW w:type="dxa" w:w="9663"/>
            <w:shd w:fill="EAF4FB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spacing w:before="0" w:after="60" w:line="300" w:lineRule="auto"/>
            </w:pPr>
            <w:r>
              <w:rPr>
                <w:rFonts w:ascii="Microsoft YaHei" w:hAnsi="Microsoft YaHei" w:eastAsia="Microsoft YaHei"/>
                <w:b/>
                <w:color w:val="2477AC"/>
                <w:sz w:val="21"/>
              </w:rPr>
              <w:t>系统定位</w:t>
            </w:r>
          </w:p>
          <w:p>
            <w:pPr>
              <w:spacing w:before="0" w:after="0" w:line="312" w:lineRule="auto"/>
            </w:pPr>
            <w:r>
              <w:rPr>
                <w:rFonts w:ascii="Microsoft YaHei" w:hAnsi="Microsoft YaHei" w:eastAsia="Microsoft YaHei"/>
                <w:color w:val="173C5C"/>
                <w:sz w:val="20"/>
              </w:rPr>
              <w:t>Lovis 将生产线仿真归档转换为可回放、可核对的公开证据，并由 AI 工作流提供诊断线索。网页明确标注“模拟数据回放”；它不接入现场设备，也不承担设备控制或安全联锁职责。</w:t>
            </w:r>
          </w:p>
        </w:tc>
      </w:tr>
    </w:tbl>
    <w:p>
      <w:pPr>
        <w:spacing w:after="20"/>
      </w:pPr>
    </w:p>
    <w:p>
      <w:pPr>
        <w:pStyle w:val="Heading1"/>
        <w:keepNext/>
        <w:spacing w:before="200" w:after="100" w:line="283" w:lineRule="auto"/>
      </w:pPr>
      <w:r>
        <w:rPr>
          <w:rFonts w:ascii="Microsoft YaHei" w:hAnsi="Microsoft YaHei" w:eastAsia="Microsoft YaHei"/>
          <w:b/>
          <w:color w:val="173C5C"/>
          <w:sz w:val="32"/>
        </w:rPr>
        <w:t>项目概览</w:t>
      </w:r>
    </w:p>
    <w:p>
      <w:pPr>
        <w:spacing w:before="0" w:after="120" w:line="322" w:lineRule="auto"/>
      </w:pPr>
      <w:r>
        <w:rPr>
          <w:rFonts w:ascii="Microsoft YaHei" w:hAnsi="Microsoft YaHei" w:eastAsia="Microsoft YaHei"/>
          <w:color w:val="173C5C"/>
          <w:sz w:val="21"/>
        </w:rPr>
        <w:t>系统围绕轴承座自动装配产线的运行过程构建。Python 仿真器产生带有运行身份、事件顺序、产品关联和测量曲线的记录；公开投影保留诊断和回放所需内容，同时将私有评测真值与网页、AI 输入隔离。</w:t>
      </w:r>
    </w:p>
    <w:p>
      <w:pPr>
        <w:spacing w:before="0" w:after="120" w:line="322" w:lineRule="auto"/>
      </w:pPr>
      <w:r>
        <w:rPr>
          <w:rFonts w:ascii="Microsoft YaHei" w:hAnsi="Microsoft YaHei" w:eastAsia="Microsoft YaHei"/>
          <w:color w:val="173C5C"/>
          <w:sz w:val="21"/>
        </w:rPr>
        <w:t>竞赛体验从数字孪生回放首页开始。评委可以切换案例、播放归档事件、观察工位状态和产品质量，再进入证据分析或查看经过结构与身份校验的诊断报告。无已验证报告时，页面不会推测结论。</w:t>
      </w:r>
    </w:p>
    <w:p>
      <w:pPr>
        <w:pStyle w:val="Heading1"/>
        <w:keepNext/>
        <w:spacing w:before="200" w:after="100" w:line="283" w:lineRule="auto"/>
      </w:pPr>
      <w:r>
        <w:rPr>
          <w:rFonts w:ascii="Microsoft YaHei" w:hAnsi="Microsoft YaHei" w:eastAsia="Microsoft YaHei"/>
          <w:b/>
          <w:color w:val="173C5C"/>
          <w:sz w:val="32"/>
        </w:rPr>
        <w:t>1 项目背景和工程问题</w:t>
      </w:r>
    </w:p>
    <w:p>
      <w:pPr>
        <w:spacing w:before="0" w:after="120" w:line="322" w:lineRule="auto"/>
      </w:pPr>
      <w:r>
        <w:rPr>
          <w:rFonts w:ascii="Microsoft YaHei" w:hAnsi="Microsoft YaHei" w:eastAsia="Microsoft YaHei"/>
          <w:color w:val="173C5C"/>
          <w:sz w:val="21"/>
        </w:rPr>
        <w:t>装配线中的局部异常可能同时表现为设备报警、曲线变化、产品质量记录及其他工位等待。单独查看某一条曲线或某一个 WAIT 事件，容易把时间先后、产品归属和故障传播关系混为一谈。</w:t>
      </w:r>
    </w:p>
    <w:p>
      <w:pPr>
        <w:spacing w:before="0" w:after="120" w:line="322" w:lineRule="auto"/>
      </w:pPr>
      <w:r>
        <w:rPr>
          <w:rFonts w:ascii="Microsoft YaHei" w:hAnsi="Microsoft YaHei" w:eastAsia="Microsoft YaHei"/>
          <w:color w:val="173C5C"/>
          <w:sz w:val="21"/>
        </w:rPr>
        <w:t>Lovis 将这些信息放回同一条仿真时间轴，以 run_id、snapshot_id、event sequence、station_id 和 product_id 建立追溯关系。界面展示的是被保存的仿真归档；缺少公开测量或位置确认时，系统保留“不可用”或“不确定”，不补造数值和运动。</w:t>
      </w:r>
    </w:p>
    <w:p>
      <w:pPr>
        <w:pStyle w:val="Heading1"/>
        <w:keepNext/>
        <w:spacing w:before="200" w:after="100" w:line="283" w:lineRule="auto"/>
      </w:pPr>
      <w:r>
        <w:rPr>
          <w:rFonts w:ascii="Microsoft YaHei" w:hAnsi="Microsoft YaHei" w:eastAsia="Microsoft YaHei"/>
          <w:b/>
          <w:color w:val="173C5C"/>
          <w:sz w:val="32"/>
        </w:rPr>
        <w:t>2 核心功能与创新点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21"/>
        <w:gridCol w:w="3221"/>
        <w:gridCol w:w="3221"/>
      </w:tblGrid>
      <w:tr>
        <w:trPr>
          <w:tblHeader w:val="true"/>
        </w:trPr>
        <w:tc>
          <w:tcPr>
            <w:tcW w:type="dxa" w:w="1800"/>
            <w:shd w:fill="EAF4FB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before="0" w:after="0" w:line="276" w:lineRule="auto"/>
            </w:pPr>
            <w:r>
              <w:rPr>
                <w:rFonts w:ascii="Microsoft YaHei" w:hAnsi="Microsoft YaHei" w:eastAsia="Microsoft YaHei"/>
                <w:b/>
                <w:color w:val="173C5C"/>
                <w:sz w:val="17"/>
              </w:rPr>
              <w:t>功能</w:t>
            </w:r>
          </w:p>
        </w:tc>
        <w:tc>
          <w:tcPr>
            <w:tcW w:type="dxa" w:w="3744"/>
            <w:shd w:fill="EAF4FB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before="0" w:after="0" w:line="276" w:lineRule="auto"/>
            </w:pPr>
            <w:r>
              <w:rPr>
                <w:rFonts w:ascii="Microsoft YaHei" w:hAnsi="Microsoft YaHei" w:eastAsia="Microsoft YaHei"/>
                <w:b/>
                <w:color w:val="173C5C"/>
                <w:sz w:val="17"/>
              </w:rPr>
              <w:t>页面可见内容</w:t>
            </w:r>
          </w:p>
        </w:tc>
        <w:tc>
          <w:tcPr>
            <w:tcW w:type="dxa" w:w="4248"/>
            <w:shd w:fill="EAF4FB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before="0" w:after="0" w:line="276" w:lineRule="auto"/>
            </w:pPr>
            <w:r>
              <w:rPr>
                <w:rFonts w:ascii="Microsoft YaHei" w:hAnsi="Microsoft YaHei" w:eastAsia="Microsoft YaHei"/>
                <w:b/>
                <w:color w:val="173C5C"/>
                <w:sz w:val="17"/>
              </w:rPr>
              <w:t>证据边界</w:t>
            </w:r>
          </w:p>
        </w:tc>
      </w:tr>
      <w:tr>
        <w:tc>
          <w:tcPr>
            <w:tcW w:type="dxa" w:w="180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数字孪生回放</w:t>
            </w:r>
          </w:p>
        </w:tc>
        <w:tc>
          <w:tcPr>
            <w:tcW w:type="dxa" w:w="3744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S01–S05 工位、T00 输送系统、R00 示意回流位、托盘和质量状态</w:t>
            </w:r>
          </w:p>
        </w:tc>
        <w:tc>
          <w:tcPr>
            <w:tcW w:type="dxa" w:w="4248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状态由公开事件重建；未确认位置不推演</w:t>
            </w:r>
          </w:p>
        </w:tc>
      </w:tr>
      <w:tr>
        <w:tc>
          <w:tcPr>
            <w:tcW w:type="dxa" w:w="180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证据分析</w:t>
            </w:r>
          </w:p>
        </w:tc>
        <w:tc>
          <w:tcPr>
            <w:tcW w:type="dxa" w:w="3744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12 个案例、测量曲线、中文事件时间线、样本与报警标记</w:t>
            </w:r>
          </w:p>
        </w:tc>
        <w:tc>
          <w:tcPr>
            <w:tcW w:type="dxa" w:w="4248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完整归档数据不因诊断抽样而改变</w:t>
            </w:r>
          </w:p>
        </w:tc>
      </w:tr>
      <w:tr>
        <w:tc>
          <w:tcPr>
            <w:tcW w:type="dxa" w:w="180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多 Agent 诊断</w:t>
            </w:r>
          </w:p>
        </w:tc>
        <w:tc>
          <w:tcPr>
            <w:tcW w:type="dxa" w:w="3744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协调路由、专业分支、证据融合和结构化报告</w:t>
            </w:r>
          </w:p>
        </w:tc>
        <w:tc>
          <w:tcPr>
            <w:tcW w:type="dxa" w:w="4248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模型结论需通过 Schema 与运行身份校验</w:t>
            </w:r>
          </w:p>
        </w:tc>
      </w:tr>
      <w:tr>
        <w:tc>
          <w:tcPr>
            <w:tcW w:type="dxa" w:w="180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专家追问</w:t>
            </w:r>
          </w:p>
        </w:tc>
        <w:tc>
          <w:tcPr>
            <w:tcW w:type="dxa" w:w="3744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围绕当前已验证报告进行多轮解释</w:t>
            </w:r>
          </w:p>
        </w:tc>
        <w:tc>
          <w:tcPr>
            <w:tcW w:type="dxa" w:w="4248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回答不覆盖或改写正式报告</w:t>
            </w:r>
          </w:p>
        </w:tc>
      </w:tr>
      <w:tr>
        <w:tc>
          <w:tcPr>
            <w:tcW w:type="dxa" w:w="180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安全与可追溯</w:t>
            </w:r>
          </w:p>
        </w:tc>
        <w:tc>
          <w:tcPr>
            <w:tcW w:type="dxa" w:w="3744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人机验证、服务端证据读取、身份和来源校验</w:t>
            </w:r>
          </w:p>
        </w:tc>
        <w:tc>
          <w:tcPr>
            <w:tcW w:type="dxa" w:w="4248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不向网页或模型提供隐藏真值和凭证</w:t>
            </w:r>
          </w:p>
        </w:tc>
      </w:tr>
    </w:tbl>
    <w:p>
      <w:pPr>
        <w:spacing w:after="20"/>
      </w:pPr>
    </w:p>
    <w:p>
      <w:pPr>
        <w:spacing w:before="0" w:after="120" w:line="322" w:lineRule="auto"/>
      </w:pPr>
      <w:r>
        <w:rPr>
          <w:rFonts w:ascii="Microsoft YaHei" w:hAnsi="Microsoft YaHei" w:eastAsia="Microsoft YaHei"/>
          <w:color w:val="173C5C"/>
          <w:sz w:val="21"/>
        </w:rPr>
        <w:t>工程创新体现在可追溯的数据和状态重建链路：以公开事件 sequence、运行身份和产品关系重建回放；曲线与 AI 压缩证据分开使用并保留来源索引；报告在服务端完成 Schema 与 run/snapshot 核验后才展示；无法确认的位置、根因或质量归属保持不确定。以上是软件工程和仿真验证能力，不等同于现场设备部署效果或统计诊断准确率。</w:t>
      </w:r>
    </w:p>
    <w:p>
      <w:pPr>
        <w:pStyle w:val="Heading1"/>
        <w:keepNext/>
        <w:spacing w:before="200" w:after="100" w:line="283" w:lineRule="auto"/>
      </w:pPr>
      <w:r>
        <w:rPr>
          <w:rFonts w:ascii="Microsoft YaHei" w:hAnsi="Microsoft YaHei" w:eastAsia="Microsoft YaHei"/>
          <w:b/>
          <w:color w:val="173C5C"/>
          <w:sz w:val="32"/>
        </w:rPr>
        <w:t>3 轴承座装配线与工位</w:t>
      </w:r>
    </w:p>
    <w:p>
      <w:pPr>
        <w:spacing w:before="0" w:after="120" w:line="322" w:lineRule="auto"/>
      </w:pPr>
      <w:r>
        <w:rPr>
          <w:rFonts w:ascii="Microsoft YaHei" w:hAnsi="Microsoft YaHei" w:eastAsia="Microsoft YaHei"/>
          <w:color w:val="173C5C"/>
          <w:sz w:val="21"/>
        </w:rPr>
        <w:t>案例库以 S01 至 S05 工位和 T00 托盘输送系统为主。设备示意用于帮助理解流程，画布不代表真实设备尺寸或现场照片。R00 仅用于展示已有回流位置概念，不会在缺少位置事件时绘制虚构回流路径。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21"/>
        <w:gridCol w:w="3221"/>
        <w:gridCol w:w="3221"/>
      </w:tblGrid>
      <w:tr>
        <w:trPr>
          <w:tblHeader w:val="true"/>
        </w:trPr>
        <w:tc>
          <w:tcPr>
            <w:tcW w:type="dxa" w:w="1037"/>
            <w:shd w:fill="EAF4FB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before="0" w:after="0" w:line="276" w:lineRule="auto"/>
            </w:pPr>
            <w:r>
              <w:rPr>
                <w:rFonts w:ascii="Microsoft YaHei" w:hAnsi="Microsoft YaHei" w:eastAsia="Microsoft YaHei"/>
                <w:b/>
                <w:color w:val="173C5C"/>
                <w:sz w:val="17"/>
              </w:rPr>
              <w:t>标识</w:t>
            </w:r>
          </w:p>
        </w:tc>
        <w:tc>
          <w:tcPr>
            <w:tcW w:type="dxa" w:w="2520"/>
            <w:shd w:fill="EAF4FB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before="0" w:after="0" w:line="276" w:lineRule="auto"/>
            </w:pPr>
            <w:r>
              <w:rPr>
                <w:rFonts w:ascii="Microsoft YaHei" w:hAnsi="Microsoft YaHei" w:eastAsia="Microsoft YaHei"/>
                <w:b/>
                <w:color w:val="173C5C"/>
                <w:sz w:val="17"/>
              </w:rPr>
              <w:t>工位名称</w:t>
            </w:r>
          </w:p>
        </w:tc>
        <w:tc>
          <w:tcPr>
            <w:tcW w:type="dxa" w:w="6235"/>
            <w:shd w:fill="EAF4FB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before="0" w:after="0" w:line="276" w:lineRule="auto"/>
            </w:pPr>
            <w:r>
              <w:rPr>
                <w:rFonts w:ascii="Microsoft YaHei" w:hAnsi="Microsoft YaHei" w:eastAsia="Microsoft YaHei"/>
                <w:b/>
                <w:color w:val="173C5C"/>
                <w:sz w:val="17"/>
              </w:rPr>
              <w:t>回放解释</w:t>
            </w:r>
          </w:p>
        </w:tc>
      </w:tr>
      <w:tr>
        <w:tc>
          <w:tcPr>
            <w:tcW w:type="dxa" w:w="103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S01</w:t>
            </w:r>
          </w:p>
        </w:tc>
        <w:tc>
          <w:tcPr>
            <w:tcW w:type="dxa" w:w="252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壳体上料</w:t>
            </w:r>
          </w:p>
        </w:tc>
        <w:tc>
          <w:tcPr>
            <w:tcW w:type="dxa" w:w="623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按公开上料、推料与报警事件显示状态；本批案例没有 S01 数值测量曲线。</w:t>
            </w:r>
          </w:p>
        </w:tc>
      </w:tr>
      <w:tr>
        <w:tc>
          <w:tcPr>
            <w:tcW w:type="dxa" w:w="103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S02</w:t>
            </w:r>
          </w:p>
        </w:tc>
        <w:tc>
          <w:tcPr>
            <w:tcW w:type="dxa" w:w="252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轴承抓取与预定位</w:t>
            </w:r>
          </w:p>
        </w:tc>
        <w:tc>
          <w:tcPr>
            <w:tcW w:type="dxa" w:w="623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抓取与预定位以已归档动作事件展示；普通等待保持中性。</w:t>
            </w:r>
          </w:p>
        </w:tc>
      </w:tr>
      <w:tr>
        <w:tc>
          <w:tcPr>
            <w:tcW w:type="dxa" w:w="103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S03</w:t>
            </w:r>
          </w:p>
        </w:tc>
        <w:tc>
          <w:tcPr>
            <w:tcW w:type="dxa" w:w="252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伺服压装</w:t>
            </w:r>
          </w:p>
        </w:tc>
        <w:tc>
          <w:tcPr>
            <w:tcW w:type="dxa" w:w="623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可查看归档压装力、编码器反馈等实际存在的通道；报警与同产品关系按事件核对。</w:t>
            </w:r>
          </w:p>
        </w:tc>
      </w:tr>
      <w:tr>
        <w:tc>
          <w:tcPr>
            <w:tcW w:type="dxa" w:w="103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S04</w:t>
            </w:r>
          </w:p>
        </w:tc>
        <w:tc>
          <w:tcPr>
            <w:tcW w:type="dxa" w:w="252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自动紧固</w:t>
            </w:r>
          </w:p>
        </w:tc>
        <w:tc>
          <w:tcPr>
            <w:tcW w:type="dxa" w:w="623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展示紧固扭矩、角度等归档通道；需要时保留产品与螺钉编号关联。</w:t>
            </w:r>
          </w:p>
        </w:tc>
      </w:tr>
      <w:tr>
        <w:tc>
          <w:tcPr>
            <w:tcW w:type="dxa" w:w="103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S05</w:t>
            </w:r>
          </w:p>
        </w:tc>
        <w:tc>
          <w:tcPr>
            <w:tcW w:type="dxa" w:w="252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质量检测与下料</w:t>
            </w:r>
          </w:p>
        </w:tc>
        <w:tc>
          <w:tcPr>
            <w:tcW w:type="dxa" w:w="623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质量标识只在公开质量记录出现后更新；NOK 本身不证明托盘移动。</w:t>
            </w:r>
          </w:p>
        </w:tc>
      </w:tr>
      <w:tr>
        <w:tc>
          <w:tcPr>
            <w:tcW w:type="dxa" w:w="103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T00</w:t>
            </w:r>
          </w:p>
        </w:tc>
        <w:tc>
          <w:tcPr>
            <w:tcW w:type="dxa" w:w="252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托盘间歇输送系统</w:t>
            </w:r>
          </w:p>
        </w:tc>
        <w:tc>
          <w:tcPr>
            <w:tcW w:type="dxa" w:w="623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TRANSFER_RESERVED 是预留；只有可配对的 TRANSFER_CONFIRMED 才确认转运。</w:t>
            </w:r>
          </w:p>
        </w:tc>
      </w:tr>
      <w:tr>
        <w:tc>
          <w:tcPr>
            <w:tcW w:type="dxa" w:w="103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R00</w:t>
            </w:r>
          </w:p>
        </w:tc>
        <w:tc>
          <w:tcPr>
            <w:tcW w:type="dxa" w:w="252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回流位置示意</w:t>
            </w:r>
          </w:p>
        </w:tc>
        <w:tc>
          <w:tcPr>
            <w:tcW w:type="dxa" w:w="623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仅展示布局参考，不根据工艺顺序推断实际托盘轨迹。</w:t>
            </w:r>
          </w:p>
        </w:tc>
      </w:tr>
    </w:tbl>
    <w:p>
      <w:pPr>
        <w:spacing w:after="20"/>
      </w:pPr>
    </w:p>
    <w:p>
      <w:pPr>
        <w:pStyle w:val="Heading1"/>
        <w:keepNext/>
        <w:spacing w:before="200" w:after="100" w:line="283" w:lineRule="auto"/>
      </w:pPr>
      <w:r>
        <w:rPr>
          <w:rFonts w:ascii="Microsoft YaHei" w:hAnsi="Microsoft YaHei" w:eastAsia="Microsoft YaHei"/>
          <w:b/>
          <w:color w:val="173C5C"/>
          <w:sz w:val="32"/>
        </w:rPr>
        <w:t>4 Python 仿真架构</w:t>
      </w:r>
    </w:p>
    <w:p>
      <w:pPr>
        <w:spacing w:before="0" w:after="120" w:line="322" w:lineRule="auto"/>
      </w:pPr>
      <w:r>
        <w:rPr>
          <w:rFonts w:ascii="Microsoft YaHei" w:hAnsi="Microsoft YaHei" w:eastAsia="Microsoft YaHei"/>
          <w:color w:val="173C5C"/>
          <w:sz w:val="21"/>
        </w:rPr>
        <w:t>Python 工程采用模块化单体结构。core 管理仿真时钟和数据对象，equipment 实现工位状态机，physics 保存简化机理模型，resources 管理气源和库存，coordination 处理托盘线，faults 管理故障定义与恢复，data 管理 SQLite 元数据。仿真时钟由 SimulationClock 推进，随机源由实验种子初始化。</w:t>
      </w:r>
    </w:p>
    <w:p>
      <w:pPr>
        <w:spacing w:before="0" w:after="120" w:line="322" w:lineRule="auto"/>
      </w:pPr>
      <w:r>
        <w:rPr>
          <w:rFonts w:ascii="Microsoft YaHei" w:hAnsi="Microsoft YaHei" w:eastAsia="Microsoft YaHei"/>
          <w:color w:val="173C5C"/>
          <w:sz w:val="21"/>
        </w:rPr>
        <w:t>S03 的简化模型将电机转矩映射为轴向力，接触力随压头位移变化；力传感器偏置与编码器反馈异常分别影响相应测量或控制反馈。S04 依据主轴角速度积分转角，并形成转矩—转角观测。模型输出用于仿真验证，不等同于现场独立传感器实测，也不能单凭峰值确认某种机械根因。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21"/>
        <w:gridCol w:w="3221"/>
        <w:gridCol w:w="3221"/>
      </w:tblGrid>
      <w:tr>
        <w:trPr>
          <w:tblHeader w:val="true"/>
        </w:trPr>
        <w:tc>
          <w:tcPr>
            <w:tcW w:type="dxa" w:w="1800"/>
            <w:shd w:fill="EAF4FB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before="0" w:after="0" w:line="276" w:lineRule="auto"/>
            </w:pPr>
            <w:r>
              <w:rPr>
                <w:rFonts w:ascii="Microsoft YaHei" w:hAnsi="Microsoft YaHei" w:eastAsia="Microsoft YaHei"/>
                <w:b/>
                <w:color w:val="173C5C"/>
                <w:sz w:val="17"/>
              </w:rPr>
              <w:t>层级</w:t>
            </w:r>
          </w:p>
        </w:tc>
        <w:tc>
          <w:tcPr>
            <w:tcW w:type="dxa" w:w="4608"/>
            <w:shd w:fill="EAF4FB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before="0" w:after="0" w:line="276" w:lineRule="auto"/>
            </w:pPr>
            <w:r>
              <w:rPr>
                <w:rFonts w:ascii="Microsoft YaHei" w:hAnsi="Microsoft YaHei" w:eastAsia="Microsoft YaHei"/>
                <w:b/>
                <w:color w:val="173C5C"/>
                <w:sz w:val="17"/>
              </w:rPr>
              <w:t>职责</w:t>
            </w:r>
          </w:p>
        </w:tc>
        <w:tc>
          <w:tcPr>
            <w:tcW w:type="dxa" w:w="3384"/>
            <w:shd w:fill="EAF4FB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before="0" w:after="0" w:line="276" w:lineRule="auto"/>
            </w:pPr>
            <w:r>
              <w:rPr>
                <w:rFonts w:ascii="Microsoft YaHei" w:hAnsi="Microsoft YaHei" w:eastAsia="Microsoft YaHei"/>
                <w:b/>
                <w:color w:val="173C5C"/>
                <w:sz w:val="17"/>
              </w:rPr>
              <w:t>交接内容</w:t>
            </w:r>
          </w:p>
        </w:tc>
      </w:tr>
      <w:tr>
        <w:tc>
          <w:tcPr>
            <w:tcW w:type="dxa" w:w="180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仿真运行</w:t>
            </w:r>
          </w:p>
        </w:tc>
        <w:tc>
          <w:tcPr>
            <w:tcW w:type="dxa" w:w="4608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工位状态机、简化物理过程、资源与托盘调度</w:t>
            </w:r>
          </w:p>
        </w:tc>
        <w:tc>
          <w:tcPr>
            <w:tcW w:type="dxa" w:w="3384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运行状态、事件、采样</w:t>
            </w:r>
          </w:p>
        </w:tc>
      </w:tr>
      <w:tr>
        <w:tc>
          <w:tcPr>
            <w:tcW w:type="dxa" w:w="180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归档与快照</w:t>
            </w:r>
          </w:p>
        </w:tc>
        <w:tc>
          <w:tcPr>
            <w:tcW w:type="dxa" w:w="4608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保存 run、snapshot、事件游标、曲线与产品历史</w:t>
            </w:r>
          </w:p>
        </w:tc>
        <w:tc>
          <w:tcPr>
            <w:tcW w:type="dxa" w:w="3384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不可变运行身份</w:t>
            </w:r>
          </w:p>
        </w:tc>
      </w:tr>
      <w:tr>
        <w:tc>
          <w:tcPr>
            <w:tcW w:type="dxa" w:w="180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公开证据投影</w:t>
            </w:r>
          </w:p>
        </w:tc>
        <w:tc>
          <w:tcPr>
            <w:tcW w:type="dxa" w:w="4608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按公开字段白名单导出 JSON 并记录源完整性摘要</w:t>
            </w:r>
          </w:p>
        </w:tc>
        <w:tc>
          <w:tcPr>
            <w:tcW w:type="dxa" w:w="3384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lovis.evidence.v1</w:t>
            </w:r>
          </w:p>
        </w:tc>
      </w:tr>
      <w:tr>
        <w:tc>
          <w:tcPr>
            <w:tcW w:type="dxa" w:w="180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网页与 AI</w:t>
            </w:r>
          </w:p>
        </w:tc>
        <w:tc>
          <w:tcPr>
            <w:tcW w:type="dxa" w:w="4608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绘图和诊断分别使用完整归档与受限公开证据</w:t>
            </w:r>
          </w:p>
        </w:tc>
        <w:tc>
          <w:tcPr>
            <w:tcW w:type="dxa" w:w="3384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来源索引、身份校验结果</w:t>
            </w:r>
          </w:p>
        </w:tc>
      </w:tr>
    </w:tbl>
    <w:p>
      <w:pPr>
        <w:spacing w:after="20"/>
      </w:pPr>
    </w:p>
    <w:p>
      <w:pPr>
        <w:pStyle w:val="Heading1"/>
        <w:keepNext/>
        <w:spacing w:before="200" w:after="100" w:line="283" w:lineRule="auto"/>
      </w:pPr>
      <w:r>
        <w:rPr>
          <w:rFonts w:ascii="Microsoft YaHei" w:hAnsi="Microsoft YaHei" w:eastAsia="Microsoft YaHei"/>
          <w:b/>
          <w:color w:val="173C5C"/>
          <w:sz w:val="32"/>
        </w:rPr>
        <w:t>5 公开证据、曲线和归档追溯</w:t>
      </w:r>
    </w:p>
    <w:p>
      <w:pPr>
        <w:spacing w:before="0" w:after="120" w:line="322" w:lineRule="auto"/>
      </w:pPr>
      <w:r>
        <w:rPr>
          <w:rFonts w:ascii="Microsoft YaHei" w:hAnsi="Microsoft YaHei" w:eastAsia="Microsoft YaHei"/>
          <w:color w:val="173C5C"/>
          <w:sz w:val="21"/>
        </w:rPr>
        <w:t>公开案例使用 lovis.evidence.v1 结构，包含 case_id、运行身份、工位/状态、仿真时间、事件、报警、曲线、统计特征、数据质量与来源信息。案例索引与每个归档文件的 run_id、snapshot_id、仿真时长、事件数和采样数相互核对。</w:t>
      </w:r>
    </w:p>
    <w:p>
      <w:pPr>
        <w:spacing w:before="0" w:after="120" w:line="322" w:lineRule="auto"/>
      </w:pPr>
      <w:r>
        <w:rPr>
          <w:rFonts w:ascii="Microsoft YaHei" w:hAnsi="Microsoft YaHei" w:eastAsia="Microsoft YaHei"/>
          <w:color w:val="173C5C"/>
          <w:sz w:val="21"/>
        </w:rPr>
        <w:t>浏览器读取完整公开曲线用于回放。Dify 使用独立压缩证据包；压缩采样保留 source_index 与全量统计，事件和报警不降采样。页面曲线标注仿真模型输出或设备反馈字段，不称为独立现场实测。缺失通道显示不可用；未知字段保留原名并标注未定义。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663"/>
      </w:tblGrid>
      <w:tr>
        <w:tc>
          <w:tcPr>
            <w:tcW w:type="dxa" w:w="9663"/>
            <w:shd w:fill="EAF4FB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spacing w:before="0" w:after="60" w:line="300" w:lineRule="auto"/>
            </w:pPr>
            <w:r>
              <w:rPr>
                <w:rFonts w:ascii="Microsoft YaHei" w:hAnsi="Microsoft YaHei" w:eastAsia="Microsoft YaHei"/>
                <w:b/>
                <w:color w:val="2477AC"/>
                <w:sz w:val="21"/>
              </w:rPr>
              <w:t>托盘位置规则</w:t>
            </w:r>
          </w:p>
          <w:p>
            <w:pPr>
              <w:spacing w:before="0" w:after="0" w:line="312" w:lineRule="auto"/>
            </w:pPr>
            <w:r>
              <w:rPr>
                <w:rFonts w:ascii="Microsoft YaHei" w:hAnsi="Microsoft YaHei" w:eastAsia="Microsoft YaHei"/>
                <w:color w:val="173C5C"/>
                <w:sz w:val="20"/>
              </w:rPr>
              <w:t>移动只在公开的转运预留、确认、来源/目的区位和对应工位事件能够配对时呈现。PRODUCT_QUALITY_CHANGED 只更新产品质量，不更改位置；普通 WAIT 不自动变成故障或传播。</w:t>
            </w:r>
          </w:p>
        </w:tc>
      </w:tr>
    </w:tbl>
    <w:p>
      <w:pPr>
        <w:spacing w:after="20"/>
      </w:pPr>
    </w:p>
    <w:p>
      <w:pPr>
        <w:pStyle w:val="Heading1"/>
        <w:keepNext/>
        <w:spacing w:before="200" w:after="100" w:line="283" w:lineRule="auto"/>
      </w:pPr>
      <w:r>
        <w:rPr>
          <w:rFonts w:ascii="Microsoft YaHei" w:hAnsi="Microsoft YaHei" w:eastAsia="Microsoft YaHei"/>
          <w:b/>
          <w:color w:val="173C5C"/>
          <w:sz w:val="32"/>
        </w:rPr>
        <w:t>6 Dify 与 DeepSeek 多 Agent 诊断</w:t>
      </w:r>
    </w:p>
    <w:p>
      <w:pPr>
        <w:spacing w:before="0" w:after="120" w:line="322" w:lineRule="auto"/>
      </w:pPr>
      <w:r>
        <w:rPr>
          <w:rFonts w:ascii="Microsoft YaHei" w:hAnsi="Microsoft YaHei" w:eastAsia="Microsoft YaHei"/>
          <w:color w:val="173C5C"/>
          <w:sz w:val="21"/>
        </w:rPr>
        <w:t>诊断请求由服务端根据有效 case_id 读取白名单案例的公开证据，再把证据与问题传给已配置的 Dify Chatflow。工作流由主协调 Agent 选择 S03、S04 或 GENERAL 专家分支，随后执行 B3 Pack、证据融合、维护建议和结构化报告校验。具体分支只有实际 Dify Trace 才能确认；没有对应 Trace 的静态回放标注“流程示意”。</w:t>
      </w:r>
    </w:p>
    <w:p>
      <w:pPr>
        <w:spacing w:before="0" w:after="120" w:line="322" w:lineRule="auto"/>
      </w:pPr>
      <w:r>
        <w:rPr>
          <w:rFonts w:ascii="Microsoft YaHei" w:hAnsi="Microsoft YaHei" w:eastAsia="Microsoft YaHei"/>
          <w:color w:val="173C5C"/>
          <w:sz w:val="21"/>
        </w:rPr>
        <w:t>Worker/Node 服务在响应前检查 lovis.diagnosis.v1 报告结构及 run_id、snapshot_id、仿真时间是否对应当前案例。候选原因保留定性置信等级，不转换成概率。SUSPECTED 表示异常方向而非已确认物理根因，NORMAL 只描述当前观测窗口。诊断追问仅解释已通过校验的报告和公开证据，不改写原报告。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16"/>
        <w:gridCol w:w="2416"/>
        <w:gridCol w:w="2416"/>
        <w:gridCol w:w="2416"/>
      </w:tblGrid>
      <w:tr>
        <w:trPr>
          <w:tblHeader w:val="true"/>
        </w:trPr>
        <w:tc>
          <w:tcPr>
            <w:tcW w:type="dxa" w:w="2160"/>
            <w:shd w:fill="EAF4FB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before="0" w:after="0" w:line="276" w:lineRule="auto"/>
            </w:pPr>
            <w:r>
              <w:rPr>
                <w:rFonts w:ascii="Microsoft YaHei" w:hAnsi="Microsoft YaHei" w:eastAsia="Microsoft YaHei"/>
                <w:b/>
                <w:color w:val="173C5C"/>
                <w:sz w:val="16"/>
              </w:rPr>
              <w:t>浏览器</w:t>
            </w:r>
          </w:p>
        </w:tc>
        <w:tc>
          <w:tcPr>
            <w:tcW w:type="dxa" w:w="2448"/>
            <w:shd w:fill="EAF4FB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before="0" w:after="0" w:line="276" w:lineRule="auto"/>
            </w:pPr>
            <w:r>
              <w:rPr>
                <w:rFonts w:ascii="Microsoft YaHei" w:hAnsi="Microsoft YaHei" w:eastAsia="Microsoft YaHei"/>
                <w:b/>
                <w:color w:val="173C5C"/>
                <w:sz w:val="16"/>
              </w:rPr>
              <w:t>安全代理</w:t>
            </w:r>
          </w:p>
        </w:tc>
        <w:tc>
          <w:tcPr>
            <w:tcW w:type="dxa" w:w="2592"/>
            <w:shd w:fill="EAF4FB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before="0" w:after="0" w:line="276" w:lineRule="auto"/>
            </w:pPr>
            <w:r>
              <w:rPr>
                <w:rFonts w:ascii="Microsoft YaHei" w:hAnsi="Microsoft YaHei" w:eastAsia="Microsoft YaHei"/>
                <w:b/>
                <w:color w:val="173C5C"/>
                <w:sz w:val="16"/>
              </w:rPr>
              <w:t>诊断服务</w:t>
            </w:r>
          </w:p>
        </w:tc>
        <w:tc>
          <w:tcPr>
            <w:tcW w:type="dxa" w:w="2592"/>
            <w:shd w:fill="EAF4FB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before="0" w:after="0" w:line="276" w:lineRule="auto"/>
            </w:pPr>
            <w:r>
              <w:rPr>
                <w:rFonts w:ascii="Microsoft YaHei" w:hAnsi="Microsoft YaHei" w:eastAsia="Microsoft YaHei"/>
                <w:b/>
                <w:color w:val="173C5C"/>
                <w:sz w:val="16"/>
              </w:rPr>
              <w:t>模型工作流</w:t>
            </w:r>
          </w:p>
        </w:tc>
      </w:tr>
      <w:tr>
        <w:tc>
          <w:tcPr>
            <w:tcW w:type="dxa" w:w="216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6"/>
              </w:rPr>
              <w:t>案例选择、播放、报告阅读</w:t>
            </w:r>
          </w:p>
        </w:tc>
        <w:tc>
          <w:tcPr>
            <w:tcW w:type="dxa" w:w="2448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6"/>
              </w:rPr>
              <w:t>HTTPS、Turnstile、限流与并发</w:t>
            </w:r>
          </w:p>
        </w:tc>
        <w:tc>
          <w:tcPr>
            <w:tcW w:type="dxa" w:w="2592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6"/>
              </w:rPr>
              <w:t>读取白名单证据、身份和 Schema 校验</w:t>
            </w:r>
          </w:p>
        </w:tc>
        <w:tc>
          <w:tcPr>
            <w:tcW w:type="dxa" w:w="2592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6"/>
              </w:rPr>
              <w:t>协调 Agent、专家分支、证据融合与报告</w:t>
            </w:r>
          </w:p>
        </w:tc>
      </w:tr>
    </w:tbl>
    <w:p>
      <w:pPr>
        <w:spacing w:after="20"/>
      </w:pPr>
    </w:p>
    <w:p>
      <w:pPr>
        <w:pStyle w:val="Heading1"/>
        <w:keepNext/>
        <w:spacing w:before="200" w:after="100" w:line="283" w:lineRule="auto"/>
      </w:pPr>
      <w:r>
        <w:rPr>
          <w:rFonts w:ascii="Microsoft YaHei" w:hAnsi="Microsoft YaHei" w:eastAsia="Microsoft YaHei"/>
          <w:b/>
          <w:color w:val="173C5C"/>
          <w:sz w:val="32"/>
        </w:rPr>
        <w:t>7 典型归档案例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21"/>
        <w:gridCol w:w="3221"/>
        <w:gridCol w:w="3221"/>
      </w:tblGrid>
      <w:tr>
        <w:trPr>
          <w:tblHeader w:val="true"/>
        </w:trPr>
        <w:tc>
          <w:tcPr>
            <w:tcW w:type="dxa" w:w="1728"/>
            <w:shd w:fill="EAF4FB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before="0" w:after="0" w:line="276" w:lineRule="auto"/>
            </w:pPr>
            <w:r>
              <w:rPr>
                <w:rFonts w:ascii="Microsoft YaHei" w:hAnsi="Microsoft YaHei" w:eastAsia="Microsoft YaHei"/>
                <w:b/>
                <w:color w:val="173C5C"/>
                <w:sz w:val="16"/>
              </w:rPr>
              <w:t>案例</w:t>
            </w:r>
          </w:p>
        </w:tc>
        <w:tc>
          <w:tcPr>
            <w:tcW w:type="dxa" w:w="5112"/>
            <w:shd w:fill="EAF4FB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before="0" w:after="0" w:line="276" w:lineRule="auto"/>
            </w:pPr>
            <w:r>
              <w:rPr>
                <w:rFonts w:ascii="Microsoft YaHei" w:hAnsi="Microsoft YaHei" w:eastAsia="Microsoft YaHei"/>
                <w:b/>
                <w:color w:val="173C5C"/>
                <w:sz w:val="16"/>
              </w:rPr>
              <w:t>归档事实</w:t>
            </w:r>
          </w:p>
        </w:tc>
        <w:tc>
          <w:tcPr>
            <w:tcW w:type="dxa" w:w="2952"/>
            <w:shd w:fill="EAF4FB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before="0" w:after="0" w:line="276" w:lineRule="auto"/>
            </w:pPr>
            <w:r>
              <w:rPr>
                <w:rFonts w:ascii="Microsoft YaHei" w:hAnsi="Microsoft YaHei" w:eastAsia="Microsoft YaHei"/>
                <w:b/>
                <w:color w:val="173C5C"/>
                <w:sz w:val="16"/>
              </w:rPr>
              <w:t>身份</w:t>
            </w:r>
          </w:p>
        </w:tc>
      </w:tr>
      <w:tr>
        <w:tc>
          <w:tcPr>
            <w:tcW w:type="dxa" w:w="1728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6"/>
              </w:rPr>
              <w:t>S03 压装超时</w:t>
            </w:r>
          </w:p>
        </w:tc>
        <w:tc>
          <w:tcPr>
            <w:tcW w:type="dxa" w:w="5112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6"/>
              </w:rPr>
              <w:t>14.50 秒；seq 19 在约 12.00 秒记录 S03 PRESS_TIMEOUT/FAULT_HOLD。seq 20 是 S05 对 WIP-03 的 NOK 质量变更；seq 21 是 S02 的继发等待。机械物理根因仍需核验。</w:t>
            </w:r>
          </w:p>
        </w:tc>
        <w:tc>
          <w:tcPr>
            <w:tcW w:type="dxa" w:w="2952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6"/>
              </w:rPr>
              <w:t>run 4f5062e618394dd2915a66de53f0d36d</w:t>
              <w:br/>
              <w:t>snapshot 854327aaee5a460c8290bb5cbffb5224</w:t>
            </w:r>
          </w:p>
        </w:tc>
      </w:tr>
      <w:tr>
        <w:tc>
          <w:tcPr>
            <w:tcW w:type="dxa" w:w="1728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6"/>
              </w:rPr>
              <w:t>S04 紧固扭矩骤降</w:t>
            </w:r>
          </w:p>
        </w:tc>
        <w:tc>
          <w:tcPr>
            <w:tcW w:type="dxa" w:w="5112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6"/>
              </w:rPr>
              <w:t>完整归档约 90.00 秒；seq 31 在约 10.96 秒记录 TORQUE_NOT_BUILT，seq 32 记录 WIP-03 NOK。seq 44 在约 17.42 秒将 S03 WAIT_DEPENDENCY_EXTENDED 与 S04、blocked_product_id=WIP-03 关联；事件自身 product_id=WIP-02。</w:t>
            </w:r>
          </w:p>
        </w:tc>
        <w:tc>
          <w:tcPr>
            <w:tcW w:type="dxa" w:w="2952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6"/>
              </w:rPr>
              <w:t>run f5115567918d47de8ebf8310af2cb5e1</w:t>
              <w:br/>
              <w:t>snapshot 7d34db1a48e24366947793813f7c07b4</w:t>
            </w:r>
          </w:p>
        </w:tc>
      </w:tr>
      <w:tr>
        <w:tc>
          <w:tcPr>
            <w:tcW w:type="dxa" w:w="1728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6"/>
              </w:rPr>
              <w:t>产线正常运行</w:t>
            </w:r>
          </w:p>
        </w:tc>
        <w:tc>
          <w:tcPr>
            <w:tcW w:type="dxa" w:w="5112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6"/>
              </w:rPr>
              <w:t>30.00 秒；86 条公开事件、无公开 ALARM。普通 WAIT 仍是物流状态，不代表设备故障；NORMAL 不表示每件产品都已 PASS。</w:t>
            </w:r>
          </w:p>
        </w:tc>
        <w:tc>
          <w:tcPr>
            <w:tcW w:type="dxa" w:w="2952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6"/>
              </w:rPr>
              <w:t>run 56cf15caa4ac410f8e1fe2a453077299</w:t>
              <w:br/>
              <w:t>snapshot bbe4b99936144cdab87f9fc76ee18a2d</w:t>
            </w:r>
          </w:p>
        </w:tc>
      </w:tr>
    </w:tbl>
    <w:p>
      <w:pPr>
        <w:spacing w:after="20"/>
      </w:pPr>
    </w:p>
    <w:p>
      <w:pPr>
        <w:pStyle w:val="Heading1"/>
        <w:keepNext/>
        <w:spacing w:before="200" w:after="100" w:line="283" w:lineRule="auto"/>
      </w:pPr>
      <w:r>
        <w:rPr>
          <w:rFonts w:ascii="Microsoft YaHei" w:hAnsi="Microsoft YaHei" w:eastAsia="Microsoft YaHei"/>
          <w:b/>
          <w:color w:val="173C5C"/>
          <w:sz w:val="32"/>
        </w:rPr>
        <w:t>8 数字孪生回放操作</w:t>
      </w:r>
    </w:p>
    <w:p>
      <w:pPr>
        <w:pStyle w:val="ListBullet"/>
        <w:spacing w:before="0" w:after="60" w:line="307" w:lineRule="auto"/>
      </w:pPr>
      <w:r>
        <w:rPr>
          <w:rFonts w:ascii="Microsoft YaHei" w:hAnsi="Microsoft YaHei" w:eastAsia="Microsoft YaHei"/>
          <w:color w:val="173C5C"/>
          <w:sz w:val="20"/>
        </w:rPr>
        <w:t>首次打开网站会进入数字孪生回放首页。页面标注模拟数据回放，顶部可切换 S03、S04、NORMAL 及案例库中的其他归档。</w:t>
      </w:r>
    </w:p>
    <w:p>
      <w:pPr>
        <w:pStyle w:val="ListBullet"/>
        <w:spacing w:before="0" w:after="60" w:line="307" w:lineRule="auto"/>
      </w:pPr>
      <w:r>
        <w:rPr>
          <w:rFonts w:ascii="Microsoft YaHei" w:hAnsi="Microsoft YaHei" w:eastAsia="Microsoft YaHei"/>
          <w:color w:val="173C5C"/>
          <w:sz w:val="20"/>
        </w:rPr>
        <w:t>播放控制支持播放、暂停、重新开始、1×/2×/4×、拖动仿真时间轴和点击事件跳转。跳转按原始 time_s 与 sequence 重建状态；仿真时间和本次实际播放耗时分别显示。</w:t>
      </w:r>
    </w:p>
    <w:p>
      <w:pPr>
        <w:pStyle w:val="ListBullet"/>
        <w:spacing w:before="0" w:after="60" w:line="307" w:lineRule="auto"/>
      </w:pPr>
      <w:r>
        <w:rPr>
          <w:rFonts w:ascii="Microsoft YaHei" w:hAnsi="Microsoft YaHei" w:eastAsia="Microsoft YaHei"/>
          <w:color w:val="173C5C"/>
          <w:sz w:val="20"/>
        </w:rPr>
        <w:t>S04 关键过程模式由公开的 S04 报警、同一产品质量事件及后续已关联 WAIT 推导，默认覆盖 0–22 秒；完整归档模式仍显示 0–90 秒。该模式不修改 run、snapshot、sequence、事件时间或曲线。可使用“跳到故障”“跳到传播”和“从头播放”。</w:t>
      </w:r>
    </w:p>
    <w:p>
      <w:pPr>
        <w:pStyle w:val="ListBullet"/>
        <w:spacing w:before="0" w:after="60" w:line="307" w:lineRule="auto"/>
      </w:pPr>
      <w:r>
        <w:rPr>
          <w:rFonts w:ascii="Microsoft YaHei" w:hAnsi="Microsoft YaHei" w:eastAsia="Microsoft YaHei"/>
          <w:color w:val="173C5C"/>
          <w:sz w:val="20"/>
        </w:rPr>
        <w:t>工位状态、报警、质量标识、托盘位置、传播线和曲线游标均随事件时间更新。传播需匹配原发工位、blocked_by_station、blocked_product_id 与事件先后关系。</w:t>
      </w:r>
    </w:p>
    <w:p>
      <w:pPr>
        <w:pStyle w:val="ListBullet"/>
        <w:spacing w:before="0" w:after="60" w:line="307" w:lineRule="auto"/>
      </w:pPr>
      <w:r>
        <w:rPr>
          <w:rFonts w:ascii="Microsoft YaHei" w:hAnsi="Microsoft YaHei" w:eastAsia="Microsoft YaHei"/>
          <w:color w:val="173C5C"/>
          <w:sz w:val="20"/>
        </w:rPr>
        <w:t>进入“证据分析”可选择测量通道并查看中文事件详情。报告入口只有在该案例存在身份匹配且已校验的报告后才启用。完整报告可查看结构化字段、下载 JSON 或打印为 PDF。</w:t>
      </w:r>
    </w:p>
    <w:p>
      <w:pPr>
        <w:pStyle w:val="Heading1"/>
        <w:keepNext/>
        <w:spacing w:before="200" w:after="100" w:line="283" w:lineRule="auto"/>
      </w:pPr>
      <w:r>
        <w:rPr>
          <w:rFonts w:ascii="Microsoft YaHei" w:hAnsi="Microsoft YaHei" w:eastAsia="Microsoft YaHei"/>
          <w:b/>
          <w:color w:val="173C5C"/>
          <w:sz w:val="32"/>
        </w:rPr>
        <w:t>9 网站部署架构与安全设计</w:t>
      </w:r>
    </w:p>
    <w:p>
      <w:pPr>
        <w:spacing w:before="0" w:after="120" w:line="322" w:lineRule="auto"/>
      </w:pPr>
      <w:r>
        <w:rPr>
          <w:rFonts w:ascii="Microsoft YaHei" w:hAnsi="Microsoft YaHei" w:eastAsia="Microsoft YaHei"/>
          <w:color w:val="173C5C"/>
          <w:sz w:val="21"/>
        </w:rPr>
        <w:t>截至 2026 年 11 月 8 日，项目提供的网站为 https://lovis-ai.site/，静态资源由腾讯云香港 Ubuntu 主机上的 Nginx 提供。已配置的 Node 后端版本标识为 20261107-hk02，仅绑定 127.0.0.1:8788；Nginx 作为同源 HTTPS 入口转发 API。主诊断和追问经服务端调用 Dify，浏览器不保存 Dify API Key。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16"/>
        <w:gridCol w:w="2416"/>
        <w:gridCol w:w="2416"/>
        <w:gridCol w:w="2416"/>
      </w:tblGrid>
      <w:tr>
        <w:trPr>
          <w:tblHeader w:val="true"/>
        </w:trPr>
        <w:tc>
          <w:tcPr>
            <w:tcW w:type="dxa" w:w="2016"/>
            <w:shd w:fill="EAF4FB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before="0" w:after="0" w:line="276" w:lineRule="auto"/>
            </w:pPr>
            <w:r>
              <w:rPr>
                <w:rFonts w:ascii="Microsoft YaHei" w:hAnsi="Microsoft YaHei" w:eastAsia="Microsoft YaHei"/>
                <w:b/>
                <w:color w:val="173C5C"/>
                <w:sz w:val="16"/>
              </w:rPr>
              <w:t>对外入口</w:t>
            </w:r>
          </w:p>
        </w:tc>
        <w:tc>
          <w:tcPr>
            <w:tcW w:type="dxa" w:w="2592"/>
            <w:shd w:fill="EAF4FB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before="0" w:after="0" w:line="276" w:lineRule="auto"/>
            </w:pPr>
            <w:r>
              <w:rPr>
                <w:rFonts w:ascii="Microsoft YaHei" w:hAnsi="Microsoft YaHei" w:eastAsia="Microsoft YaHei"/>
                <w:b/>
                <w:color w:val="173C5C"/>
                <w:sz w:val="16"/>
              </w:rPr>
              <w:t>静态网页</w:t>
            </w:r>
          </w:p>
        </w:tc>
        <w:tc>
          <w:tcPr>
            <w:tcW w:type="dxa" w:w="2880"/>
            <w:shd w:fill="EAF4FB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before="0" w:after="0" w:line="276" w:lineRule="auto"/>
            </w:pPr>
            <w:r>
              <w:rPr>
                <w:rFonts w:ascii="Microsoft YaHei" w:hAnsi="Microsoft YaHei" w:eastAsia="Microsoft YaHei"/>
                <w:b/>
                <w:color w:val="173C5C"/>
                <w:sz w:val="16"/>
              </w:rPr>
              <w:t>后端 API</w:t>
            </w:r>
          </w:p>
        </w:tc>
        <w:tc>
          <w:tcPr>
            <w:tcW w:type="dxa" w:w="2304"/>
            <w:shd w:fill="EAF4FB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before="0" w:after="0" w:line="276" w:lineRule="auto"/>
            </w:pPr>
            <w:r>
              <w:rPr>
                <w:rFonts w:ascii="Microsoft YaHei" w:hAnsi="Microsoft YaHei" w:eastAsia="Microsoft YaHei"/>
                <w:b/>
                <w:color w:val="173C5C"/>
                <w:sz w:val="16"/>
              </w:rPr>
              <w:t>AI 服务</w:t>
            </w:r>
          </w:p>
        </w:tc>
      </w:tr>
      <w:tr>
        <w:tc>
          <w:tcPr>
            <w:tcW w:type="dxa" w:w="201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6"/>
              </w:rPr>
              <w:t>lovis-ai.site</w:t>
              <w:br/>
              <w:t>HTTPS + Turnstile</w:t>
            </w:r>
          </w:p>
        </w:tc>
        <w:tc>
          <w:tcPr>
            <w:tcW w:type="dxa" w:w="2592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6"/>
              </w:rPr>
              <w:t>/var/www/lovis/public</w:t>
              <w:br/>
              <w:t>只含公开展示资源</w:t>
            </w:r>
          </w:p>
        </w:tc>
        <w:tc>
          <w:tcPr>
            <w:tcW w:type="dxa" w:w="2880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6"/>
              </w:rPr>
              <w:t>Nginx → 127.0.0.1:8788</w:t>
              <w:br/>
              <w:t>服务端证据/报告校验</w:t>
            </w:r>
          </w:p>
        </w:tc>
        <w:tc>
          <w:tcPr>
            <w:tcW w:type="dxa" w:w="2304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6"/>
              </w:rPr>
              <w:t>Dify Cloud Chatflow</w:t>
              <w:br/>
              <w:t>DeepSeek 模型配置</w:t>
            </w:r>
          </w:p>
        </w:tc>
      </w:tr>
    </w:tbl>
    <w:p>
      <w:pPr>
        <w:spacing w:after="20"/>
      </w:pPr>
    </w:p>
    <w:p>
      <w:pPr>
        <w:spacing w:before="0" w:after="120" w:line="322" w:lineRule="auto"/>
      </w:pPr>
      <w:r>
        <w:rPr>
          <w:rFonts w:ascii="Microsoft YaHei" w:hAnsi="Microsoft YaHei" w:eastAsia="Microsoft YaHei"/>
          <w:color w:val="173C5C"/>
          <w:sz w:val="21"/>
        </w:rPr>
        <w:t>诊断与追问需要通过来源、人机验证、限流/并发、报告结构和案例身份检查。Dify、Turnstile 凭证保存在服务端环境中，不应写入静态文件、导出文档或日志。静态归档回放可用不代表 AI API 开放；缺少配置或验证失败时，服务按关闭/拒绝处理。</w:t>
      </w:r>
    </w:p>
    <w:p>
      <w:pPr>
        <w:pStyle w:val="Heading1"/>
        <w:keepNext/>
        <w:spacing w:before="200" w:after="100" w:line="283" w:lineRule="auto"/>
      </w:pPr>
      <w:r>
        <w:rPr>
          <w:rFonts w:ascii="Microsoft YaHei" w:hAnsi="Microsoft YaHei" w:eastAsia="Microsoft YaHei"/>
          <w:b/>
          <w:color w:val="173C5C"/>
          <w:sz w:val="32"/>
        </w:rPr>
        <w:t>10 已验证结果、局限与后续工作</w:t>
      </w:r>
    </w:p>
    <w:p>
      <w:pPr>
        <w:spacing w:before="0" w:after="120" w:line="322" w:lineRule="auto"/>
      </w:pPr>
      <w:r>
        <w:rPr>
          <w:rFonts w:ascii="Microsoft YaHei" w:hAnsi="Microsoft YaHei" w:eastAsia="Microsoft YaHei"/>
          <w:color w:val="173C5C"/>
          <w:sz w:val="21"/>
        </w:rPr>
        <w:t>本地公开案例库包含 12 个从真实仿真运行导出的归档案例。S03、S04 和 NORMAL 典型回放使用原始事件与曲线；九个新增案例在索引中标记“待 AI 验收”。项目负责人确认正式网站至少有一次真实 AI 诊断成功。S03、S04、NORMAL 及连续追问仍需逐项最终公网验收，因此本说明书不宣称全部云端分支均已完成验收。</w:t>
      </w:r>
    </w:p>
    <w:p>
      <w:pPr>
        <w:spacing w:before="0" w:after="120" w:line="322" w:lineRule="auto"/>
      </w:pPr>
      <w:r>
        <w:rPr>
          <w:rFonts w:ascii="Microsoft YaHei" w:hAnsi="Microsoft YaHei" w:eastAsia="Microsoft YaHei"/>
          <w:color w:val="173C5C"/>
          <w:sz w:val="21"/>
        </w:rPr>
        <w:t>项目没有对外发布诊断准确率，也没有证明系统已接入真实工业设备。仿真模型是工程验证工具，不覆盖所有设备、公差、磨损和传感器误差；事件相关性不等于根因证明。后续工作包括完成三案例及连续追问验收、记录真实失败和超时情形、补充设备级验证数据，以及在获得授权后评估现场接入。</w:t>
      </w:r>
    </w:p>
    <w:p>
      <w:pPr>
        <w:pStyle w:val="Heading1"/>
        <w:keepNext/>
        <w:spacing w:before="200" w:after="100" w:line="283" w:lineRule="auto"/>
      </w:pPr>
      <w:r>
        <w:rPr>
          <w:rFonts w:ascii="Microsoft YaHei" w:hAnsi="Microsoft YaHei" w:eastAsia="Microsoft YaHei"/>
          <w:b/>
          <w:color w:val="173C5C"/>
          <w:sz w:val="32"/>
        </w:rPr>
        <w:t>11 评委快速体验指南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21"/>
        <w:gridCol w:w="3221"/>
        <w:gridCol w:w="3221"/>
      </w:tblGrid>
      <w:tr>
        <w:trPr>
          <w:tblHeader w:val="true"/>
        </w:trPr>
        <w:tc>
          <w:tcPr>
            <w:tcW w:type="dxa" w:w="792"/>
            <w:shd w:fill="EAF4FB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before="0" w:after="0" w:line="276" w:lineRule="auto"/>
            </w:pPr>
            <w:r>
              <w:rPr>
                <w:rFonts w:ascii="Microsoft YaHei" w:hAnsi="Microsoft YaHei" w:eastAsia="Microsoft YaHei"/>
                <w:b/>
                <w:color w:val="173C5C"/>
                <w:sz w:val="17"/>
              </w:rPr>
              <w:t>步骤</w:t>
            </w:r>
          </w:p>
        </w:tc>
        <w:tc>
          <w:tcPr>
            <w:tcW w:type="dxa" w:w="3744"/>
            <w:shd w:fill="EAF4FB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before="0" w:after="0" w:line="276" w:lineRule="auto"/>
            </w:pPr>
            <w:r>
              <w:rPr>
                <w:rFonts w:ascii="Microsoft YaHei" w:hAnsi="Microsoft YaHei" w:eastAsia="Microsoft YaHei"/>
                <w:b/>
                <w:color w:val="173C5C"/>
                <w:sz w:val="17"/>
              </w:rPr>
              <w:t>操作</w:t>
            </w:r>
          </w:p>
        </w:tc>
        <w:tc>
          <w:tcPr>
            <w:tcW w:type="dxa" w:w="5256"/>
            <w:shd w:fill="EAF4FB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before="0" w:after="0" w:line="276" w:lineRule="auto"/>
            </w:pPr>
            <w:r>
              <w:rPr>
                <w:rFonts w:ascii="Microsoft YaHei" w:hAnsi="Microsoft YaHei" w:eastAsia="Microsoft YaHei"/>
                <w:b/>
                <w:color w:val="173C5C"/>
                <w:sz w:val="17"/>
              </w:rPr>
              <w:t>核对重点</w:t>
            </w:r>
          </w:p>
        </w:tc>
      </w:tr>
      <w:tr>
        <w:tc>
          <w:tcPr>
            <w:tcW w:type="dxa" w:w="792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1</w:t>
            </w:r>
          </w:p>
        </w:tc>
        <w:tc>
          <w:tcPr>
            <w:tcW w:type="dxa" w:w="3744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打开 https://lovis-ai.site/</w:t>
            </w:r>
          </w:p>
        </w:tc>
        <w:tc>
          <w:tcPr>
            <w:tcW w:type="dxa" w:w="525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默认进入数字孪生回放；注意“模拟数据回放”标识。</w:t>
            </w:r>
          </w:p>
        </w:tc>
      </w:tr>
      <w:tr>
        <w:tc>
          <w:tcPr>
            <w:tcW w:type="dxa" w:w="792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2</w:t>
            </w:r>
          </w:p>
        </w:tc>
        <w:tc>
          <w:tcPr>
            <w:tcW w:type="dxa" w:w="3744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选择 S03、S04 或正常运行案例</w:t>
            </w:r>
          </w:p>
        </w:tc>
        <w:tc>
          <w:tcPr>
            <w:tcW w:type="dxa" w:w="525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案例标题、归档状态和时间随选择切换。</w:t>
            </w:r>
          </w:p>
        </w:tc>
      </w:tr>
      <w:tr>
        <w:tc>
          <w:tcPr>
            <w:tcW w:type="dxa" w:w="792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3</w:t>
            </w:r>
          </w:p>
        </w:tc>
        <w:tc>
          <w:tcPr>
            <w:tcW w:type="dxa" w:w="3744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播放、暂停或点击事件跳转</w:t>
            </w:r>
          </w:p>
        </w:tc>
        <w:tc>
          <w:tcPr>
            <w:tcW w:type="dxa" w:w="525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工位状态、产品质量、事件顺序和游标联动；普通 WAIT 保持中性。</w:t>
            </w:r>
          </w:p>
        </w:tc>
      </w:tr>
      <w:tr>
        <w:tc>
          <w:tcPr>
            <w:tcW w:type="dxa" w:w="792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4</w:t>
            </w:r>
          </w:p>
        </w:tc>
        <w:tc>
          <w:tcPr>
            <w:tcW w:type="dxa" w:w="3744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S04 查看关键过程 / 完整归档</w:t>
            </w:r>
          </w:p>
        </w:tc>
        <w:tc>
          <w:tcPr>
            <w:tcW w:type="dxa" w:w="525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关键模式聚焦故障与传播，完整模式仍可查看原 90 秒归档。</w:t>
            </w:r>
          </w:p>
        </w:tc>
      </w:tr>
      <w:tr>
        <w:tc>
          <w:tcPr>
            <w:tcW w:type="dxa" w:w="792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5</w:t>
            </w:r>
          </w:p>
        </w:tc>
        <w:tc>
          <w:tcPr>
            <w:tcW w:type="dxa" w:w="3744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打开证据分析或已验证报告</w:t>
            </w:r>
          </w:p>
        </w:tc>
        <w:tc>
          <w:tcPr>
            <w:tcW w:type="dxa" w:w="525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检查曲线通道、事件原始详情、报告身份及不确定性说明。</w:t>
            </w:r>
          </w:p>
        </w:tc>
      </w:tr>
      <w:tr>
        <w:tc>
          <w:tcPr>
            <w:tcW w:type="dxa" w:w="792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6</w:t>
            </w:r>
          </w:p>
        </w:tc>
        <w:tc>
          <w:tcPr>
            <w:tcW w:type="dxa" w:w="3744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如现场诊断已获准，可执行一次诊断</w:t>
            </w:r>
          </w:p>
        </w:tc>
        <w:tc>
          <w:tcPr>
            <w:tcW w:type="dxa" w:w="525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  <w:shd w:fill="F5F9FC"/>
          </w:tcPr>
          <w:p>
            <w:pPr>
              <w:spacing w:before="0" w:after="0" w:line="288" w:lineRule="auto"/>
            </w:pPr>
            <w:r>
              <w:rPr>
                <w:rFonts w:ascii="Microsoft YaHei" w:hAnsi="Microsoft YaHei" w:eastAsia="Microsoft YaHei"/>
                <w:color w:val="173C5C"/>
                <w:sz w:val="17"/>
              </w:rPr>
              <w:t>完成 Turnstile 后查看结果；失败时不显示伪造报告。云端验收需由账户持有人确认。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663"/>
      </w:tblGrid>
      <w:tr>
        <w:tc>
          <w:tcPr>
            <w:tcW w:type="dxa" w:w="9663"/>
            <w:shd w:fill="F1F6FA"/>
            <w:tcMar>
              <w:top w:w="150" w:type="dxa"/>
              <w:start w:w="180" w:type="dxa"/>
              <w:bottom w:w="150" w:type="dxa"/>
              <w:end w:w="180" w:type="dxa"/>
            </w:tcMar>
          </w:tcPr>
          <w:p>
            <w:pPr>
              <w:spacing w:before="0" w:after="60" w:line="300" w:lineRule="auto"/>
            </w:pPr>
            <w:r>
              <w:rPr>
                <w:rFonts w:ascii="Microsoft YaHei" w:hAnsi="Microsoft YaHei" w:eastAsia="Microsoft YaHei"/>
                <w:b/>
                <w:color w:val="2477AC"/>
                <w:sz w:val="21"/>
              </w:rPr>
              <w:t>体验边界</w:t>
            </w:r>
          </w:p>
          <w:p>
            <w:pPr>
              <w:spacing w:before="0" w:after="0" w:line="312" w:lineRule="auto"/>
            </w:pPr>
            <w:r>
              <w:rPr>
                <w:rFonts w:ascii="Microsoft YaHei" w:hAnsi="Microsoft YaHei" w:eastAsia="Microsoft YaHei"/>
                <w:color w:val="173C5C"/>
                <w:sz w:val="20"/>
              </w:rPr>
              <w:t>归档事件和曲线属于模拟运行记录；报告中的候选原因用于安排后续核验，不构成维修授权、产品放行或安全控制命令。</w:t>
            </w:r>
          </w:p>
        </w:tc>
      </w:tr>
    </w:tbl>
    <w:p>
      <w:pPr>
        <w:spacing w:after="20"/>
      </w:pPr>
    </w:p>
    <w:sectPr w:rsidR="00FC693F" w:rsidRPr="0006063C" w:rsidSect="00034616">
      <w:headerReference w:type="default" r:id="rId9"/>
      <w:footerReference w:type="default" r:id="rId10"/>
      <w:pgSz w:w="11909" w:h="16834"/>
      <w:pgMar w:top="1037" w:right="1123" w:bottom="979" w:left="112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60" w:after="0" w:line="240" w:lineRule="auto"/>
      <w:jc w:val="center"/>
    </w:pPr>
    <w:r>
      <w:rPr>
        <w:rFonts w:ascii="Microsoft YaHei" w:hAnsi="Microsoft YaHei" w:eastAsia="Microsoft YaHei"/>
        <w:color w:val="536B7F"/>
        <w:sz w:val="16"/>
      </w:rPr>
      <w:t xml:space="preserve">项目说明书  ·  第 </w:t>
    </w:r>
    <w:r>
      <w:rPr>
        <w:rFonts w:ascii="Microsoft YaHei" w:hAnsi="Microsoft YaHei" w:eastAsia="Microsoft YaHei"/>
        <w:color w:val="536B7F"/>
        <w:sz w:val="16"/>
      </w:rPr>
      <w:fldChar w:fldCharType="begin"/>
      <w:instrText xml:space="preserve"> PAGE </w:instrText>
      <w:fldChar w:fldCharType="separate"/>
      <w:t>1</w:t>
      <w:fldChar w:fldCharType="end"/>
    </w:r>
    <w:r>
      <w:rPr>
        <w:rFonts w:ascii="Microsoft YaHei" w:hAnsi="Microsoft YaHei" w:eastAsia="Microsoft YaHei"/>
        <w:color w:val="536B7F"/>
        <w:sz w:val="16"/>
      </w:rPr>
      <w:t xml:space="preserve"> 页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before="0" w:after="60" w:line="240" w:lineRule="auto"/>
      <w:jc w:val="right"/>
    </w:pPr>
    <w:r>
      <w:rPr>
        <w:rFonts w:ascii="Microsoft YaHei" w:hAnsi="Microsoft YaHei" w:eastAsia="Microsoft YaHei"/>
        <w:color w:val="536B7F"/>
        <w:sz w:val="16"/>
      </w:rPr>
      <w:t>LOVIS  |  工业智能故障诊断系统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 w:eastAsia="Microsoft YaHei"/>
      <w:color w:val="173C5C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Microsoft YaHei" w:hAnsi="Microsoft YaHei" w:eastAsia="Microsoft YaHei"/>
      <w:b/>
      <w:bCs/>
      <w:color w:val="173C5C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Microsoft YaHei" w:hAnsi="Microsoft YaHei" w:eastAsia="Microsoft YaHei"/>
      <w:b/>
      <w:bCs/>
      <w:color w:val="173C5C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Microsoft YaHei" w:hAnsi="Microsoft YaHei" w:eastAsia="Microsoft YaHei"/>
      <w:b/>
      <w:bCs/>
      <w:color w:val="173C5C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Microsoft YaHei" w:hAnsi="Microsoft YaHei" w:eastAsia="Microsoft YaHei"/>
      <w:b/>
      <w:color w:val="173C5C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Microsoft YaHei" w:hAnsi="Microsoft YaHei" w:eastAsia="Microsoft YaHei"/>
      <w:color w:val="173C5C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  <w:rPr>
      <w:rFonts w:ascii="Microsoft YaHei" w:hAnsi="Microsoft YaHei" w:eastAsia="Microsoft YaHei"/>
      <w:color w:val="173C5C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Lovis 工业智能故障诊断系统——项目说明书</dc:title>
  <dc:subject>项目架构、公开证据、数字孪生回放与评委体验</dc:subject>
  <dc:creator>Lovis 项目组</dc:creator>
  <cp:keywords>Lovis, 数字孪生, 工业诊断, 仿真归档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